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85"/>
        <w:tblOverlap w:val="never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10149E" w:rsidRPr="00C232C2" w:rsidTr="0010149E">
        <w:trPr>
          <w:trHeight w:val="91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Проект</w:t>
            </w:r>
          </w:p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вносится </w:t>
            </w:r>
          </w:p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Главой Администрации сельского поселения </w:t>
            </w:r>
            <w:r w:rsidR="007E358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Богородский</w:t>
            </w:r>
            <w:r w:rsidR="00A0679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сельсовет муниципального района</w:t>
            </w:r>
          </w:p>
          <w:p w:rsidR="0010149E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Благовещенский район</w:t>
            </w:r>
          </w:p>
          <w:p w:rsidR="0010149E" w:rsidRPr="00011BAD" w:rsidRDefault="0010149E" w:rsidP="0010149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Республики Башкортостан</w:t>
            </w:r>
          </w:p>
          <w:p w:rsidR="0010149E" w:rsidRPr="00F7593B" w:rsidRDefault="0010149E" w:rsidP="0010149E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0149E" w:rsidRPr="00F7593B" w:rsidRDefault="0010149E" w:rsidP="0010149E">
            <w:pPr>
              <w:tabs>
                <w:tab w:val="left" w:pos="11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1258" w:rsidRDefault="00711258" w:rsidP="004A0045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E1FBC" w:rsidRPr="00C85915" w:rsidRDefault="00C232C2" w:rsidP="004A0045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E0F9A" w:rsidRPr="00C8591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670E0" w:rsidRPr="00C85915" w:rsidRDefault="004670E0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330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</w:t>
      </w:r>
      <w:r w:rsidR="007E358D"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</w:t>
      </w:r>
      <w:r w:rsidR="007E4F1D"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sz w:val="28"/>
          <w:szCs w:val="28"/>
        </w:rPr>
        <w:t>3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период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sz w:val="28"/>
          <w:szCs w:val="28"/>
        </w:rPr>
        <w:t>4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sz w:val="28"/>
          <w:szCs w:val="28"/>
        </w:rPr>
        <w:t>5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409" w:rsidRPr="00994409">
        <w:rPr>
          <w:rFonts w:ascii="Times New Roman" w:hAnsi="Times New Roman" w:cs="Times New Roman"/>
          <w:b w:val="0"/>
          <w:sz w:val="28"/>
          <w:szCs w:val="28"/>
        </w:rPr>
        <w:t>3 369 940,00</w:t>
      </w:r>
      <w:r w:rsidR="009944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994409" w:rsidRPr="00994409">
        <w:rPr>
          <w:rFonts w:ascii="Times New Roman" w:hAnsi="Times New Roman" w:cs="Times New Roman"/>
          <w:b w:val="0"/>
          <w:sz w:val="28"/>
          <w:szCs w:val="28"/>
        </w:rPr>
        <w:t>3 369 940,00</w:t>
      </w:r>
      <w:r w:rsidR="009944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073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2 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078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932A33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2 073 100,00</w:t>
      </w:r>
      <w:r w:rsidR="00994409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48 24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 и на 202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A47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2 078 600,00</w:t>
      </w:r>
      <w:r w:rsidR="00994409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994409">
        <w:rPr>
          <w:rFonts w:ascii="Times New Roman" w:hAnsi="Times New Roman" w:cs="Times New Roman"/>
          <w:b w:val="0"/>
          <w:bCs w:val="0"/>
          <w:sz w:val="28"/>
          <w:szCs w:val="28"/>
        </w:rPr>
        <w:t>96 470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3 2024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  <w:proofErr w:type="gramEnd"/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ств дл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2023 год и на плановый период 2024 и 2025 годов: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</w:t>
      </w:r>
      <w:proofErr w:type="spell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непрограммным</w:t>
      </w:r>
      <w:proofErr w:type="spell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направлениям деятельности), группам 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5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и на плановый период 2024 и 2025 годов согласно приложению 6 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C25D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5C25D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</w:t>
      </w:r>
      <w:proofErr w:type="gramStart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учитываются</w:t>
      </w:r>
      <w:proofErr w:type="gramEnd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сокращающие его 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gramStart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proofErr w:type="gramEnd"/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</w:t>
      </w:r>
      <w:proofErr w:type="gramEnd"/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F6121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  <w:proofErr w:type="gramEnd"/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7E358D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proofErr w:type="gramEnd"/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2024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для </w:t>
      </w:r>
      <w:proofErr w:type="spellStart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софинансирования</w:t>
      </w:r>
      <w:proofErr w:type="spellEnd"/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  <w:proofErr w:type="gramEnd"/>
    </w:p>
    <w:p w:rsidR="006B7A05" w:rsidRPr="002A70E1" w:rsidRDefault="006B7A05" w:rsidP="006B7A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сельского поселения </w:t>
      </w:r>
      <w:r w:rsidR="007E3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:rsidR="006B7A05" w:rsidRDefault="006B7A05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4C" w:rsidRDefault="00A4774C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614" w:rsidRDefault="00711258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80B9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5FB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 w:rsidR="007E358D">
        <w:rPr>
          <w:b w:val="0"/>
          <w:bCs w:val="0"/>
          <w:i w:val="0"/>
          <w:iCs w:val="0"/>
        </w:rPr>
        <w:t>Ахмерова Л.Ф</w:t>
      </w:r>
      <w:r w:rsidR="002F0453">
        <w:rPr>
          <w:b w:val="0"/>
          <w:bCs w:val="0"/>
          <w:i w:val="0"/>
          <w:iCs w:val="0"/>
        </w:rPr>
        <w:t>.</w:t>
      </w:r>
    </w:p>
    <w:sectPr w:rsidR="000B5FB0" w:rsidSect="004A0045">
      <w:headerReference w:type="default" r:id="rId7"/>
      <w:headerReference w:type="first" r:id="rId8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42" w:rsidRDefault="00EB2F42" w:rsidP="00A73E2F">
      <w:pPr>
        <w:spacing w:after="0" w:line="240" w:lineRule="auto"/>
      </w:pPr>
      <w:r>
        <w:separator/>
      </w:r>
    </w:p>
  </w:endnote>
  <w:endnote w:type="continuationSeparator" w:id="0">
    <w:p w:rsidR="00EB2F42" w:rsidRDefault="00EB2F42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42" w:rsidRDefault="00EB2F42" w:rsidP="00A73E2F">
      <w:pPr>
        <w:spacing w:after="0" w:line="240" w:lineRule="auto"/>
      </w:pPr>
      <w:r>
        <w:separator/>
      </w:r>
    </w:p>
  </w:footnote>
  <w:footnote w:type="continuationSeparator" w:id="0">
    <w:p w:rsidR="00EB2F42" w:rsidRDefault="00EB2F42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B4" w:rsidRPr="00156A4F" w:rsidRDefault="00330B7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994409">
      <w:rPr>
        <w:rFonts w:ascii="Times New Roman" w:hAnsi="Times New Roman" w:cs="Times New Roman"/>
        <w:noProof/>
        <w:sz w:val="28"/>
        <w:szCs w:val="28"/>
      </w:rPr>
      <w:t>10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574A"/>
    <w:rsid w:val="0002676D"/>
    <w:rsid w:val="00026776"/>
    <w:rsid w:val="00030618"/>
    <w:rsid w:val="000341A4"/>
    <w:rsid w:val="00034E13"/>
    <w:rsid w:val="00036255"/>
    <w:rsid w:val="000378E8"/>
    <w:rsid w:val="00037F27"/>
    <w:rsid w:val="0004244F"/>
    <w:rsid w:val="0004562D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5B8D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04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A5A4F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E4D2B"/>
    <w:rsid w:val="002F0453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0B78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3CF9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50A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06C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06D2C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DE3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34E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BBE"/>
    <w:rsid w:val="00687E2B"/>
    <w:rsid w:val="006901B5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2D59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358D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1D44"/>
    <w:rsid w:val="00822C37"/>
    <w:rsid w:val="00823EC8"/>
    <w:rsid w:val="00826350"/>
    <w:rsid w:val="00826409"/>
    <w:rsid w:val="00826E8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5058"/>
    <w:rsid w:val="00907062"/>
    <w:rsid w:val="009113E3"/>
    <w:rsid w:val="00914BD4"/>
    <w:rsid w:val="00915504"/>
    <w:rsid w:val="00915652"/>
    <w:rsid w:val="00915E94"/>
    <w:rsid w:val="00920B73"/>
    <w:rsid w:val="009215E1"/>
    <w:rsid w:val="00922B43"/>
    <w:rsid w:val="0092515D"/>
    <w:rsid w:val="00925DF3"/>
    <w:rsid w:val="00926556"/>
    <w:rsid w:val="00930330"/>
    <w:rsid w:val="009328F0"/>
    <w:rsid w:val="00932A33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2A94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4409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793"/>
    <w:rsid w:val="00A069A0"/>
    <w:rsid w:val="00A06DC1"/>
    <w:rsid w:val="00A072CE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4774C"/>
    <w:rsid w:val="00A503E4"/>
    <w:rsid w:val="00A50D0B"/>
    <w:rsid w:val="00A5133D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E76D0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03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B17F2"/>
    <w:rsid w:val="00EB2667"/>
    <w:rsid w:val="00EB2F42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23A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3BBC"/>
    <w:rsid w:val="00F87AA6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152E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1170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7A0C-337C-4016-81C2-7ACC4B0D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20</cp:revision>
  <cp:lastPrinted>2021-11-17T04:15:00Z</cp:lastPrinted>
  <dcterms:created xsi:type="dcterms:W3CDTF">2022-11-13T15:50:00Z</dcterms:created>
  <dcterms:modified xsi:type="dcterms:W3CDTF">2022-12-19T10:54:00Z</dcterms:modified>
</cp:coreProperties>
</file>