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53" w:rsidRDefault="00E83553" w:rsidP="007556AF">
      <w:pPr>
        <w:spacing w:after="0" w:line="240" w:lineRule="auto"/>
        <w:jc w:val="center"/>
        <w:rPr>
          <w:b/>
        </w:rPr>
      </w:pPr>
    </w:p>
    <w:p w:rsidR="009957D8" w:rsidRDefault="009957D8" w:rsidP="007556AF">
      <w:pPr>
        <w:spacing w:after="0" w:line="240" w:lineRule="auto"/>
        <w:jc w:val="center"/>
        <w:rPr>
          <w:b/>
        </w:rPr>
      </w:pPr>
    </w:p>
    <w:p w:rsidR="009957D8" w:rsidRPr="005219EC" w:rsidRDefault="009957D8" w:rsidP="007556AF">
      <w:pPr>
        <w:spacing w:after="0" w:line="240" w:lineRule="auto"/>
        <w:jc w:val="center"/>
        <w:rPr>
          <w:b/>
        </w:rPr>
      </w:pPr>
    </w:p>
    <w:p w:rsidR="009957D8" w:rsidRDefault="009957D8" w:rsidP="009957D8">
      <w:pPr>
        <w:jc w:val="right"/>
        <w:rPr>
          <w:b/>
          <w:lang w:val="ba-RU"/>
        </w:rPr>
      </w:pPr>
      <w:r>
        <w:rPr>
          <w:b/>
          <w:lang w:val="ba-RU"/>
        </w:rPr>
        <w:t>ПРОЕКТ</w:t>
      </w:r>
    </w:p>
    <w:p w:rsidR="009957D8" w:rsidRPr="009957D8" w:rsidRDefault="009957D8" w:rsidP="009957D8">
      <w:pPr>
        <w:jc w:val="center"/>
        <w:rPr>
          <w:b/>
          <w:bCs/>
        </w:rPr>
      </w:pPr>
      <w:r w:rsidRPr="00FE506C">
        <w:rPr>
          <w:b/>
          <w:lang w:val="ba-RU"/>
        </w:rPr>
        <w:t>Ҡ</w:t>
      </w:r>
      <w:r w:rsidRPr="00FE506C">
        <w:rPr>
          <w:b/>
        </w:rPr>
        <w:t>АРАР</w:t>
      </w:r>
      <w:r w:rsidRPr="00FE506C">
        <w:t xml:space="preserve">                                         </w:t>
      </w:r>
      <w:r>
        <w:t xml:space="preserve">          </w:t>
      </w:r>
      <w:r w:rsidRPr="00FE506C">
        <w:t xml:space="preserve">                       </w:t>
      </w:r>
      <w:r w:rsidRPr="00FE506C">
        <w:rPr>
          <w:b/>
          <w:bCs/>
        </w:rPr>
        <w:t>ПОСТАНОВЛЕНИЕ</w:t>
      </w:r>
    </w:p>
    <w:p w:rsidR="009957D8" w:rsidRDefault="009957D8" w:rsidP="009957D8">
      <w:pPr>
        <w:shd w:val="clear" w:color="auto" w:fill="FFFFFF"/>
      </w:pPr>
      <w:r>
        <w:t xml:space="preserve">__ __________ </w:t>
      </w:r>
      <w:r w:rsidRPr="009151B5">
        <w:t>202</w:t>
      </w:r>
      <w:r>
        <w:t xml:space="preserve">4 </w:t>
      </w:r>
      <w:r w:rsidRPr="009151B5">
        <w:t xml:space="preserve">й.                </w:t>
      </w:r>
      <w:r>
        <w:t xml:space="preserve">           </w:t>
      </w:r>
      <w:r w:rsidRPr="009151B5">
        <w:t>№</w:t>
      </w:r>
      <w:r>
        <w:t xml:space="preserve"> ____</w:t>
      </w:r>
      <w:r w:rsidRPr="009151B5">
        <w:t xml:space="preserve">               </w:t>
      </w:r>
      <w:r>
        <w:t>__</w:t>
      </w:r>
      <w:proofErr w:type="gramStart"/>
      <w:r>
        <w:t>_  _</w:t>
      </w:r>
      <w:proofErr w:type="gramEnd"/>
      <w:r>
        <w:t>_________ 2024 г.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83553" w:rsidRPr="009957D8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957D8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9957D8">
        <w:rPr>
          <w:rFonts w:eastAsiaTheme="minorEastAsia"/>
          <w:b/>
          <w:bCs/>
        </w:rPr>
        <w:t>«</w:t>
      </w:r>
      <w:r w:rsidR="00CB17D6" w:rsidRPr="009957D8">
        <w:rPr>
          <w:b/>
          <w:bCs/>
        </w:rPr>
        <w:t xml:space="preserve">Присвоение и аннулирование </w:t>
      </w:r>
      <w:r w:rsidR="002A3EB0" w:rsidRPr="009957D8">
        <w:rPr>
          <w:b/>
          <w:bCs/>
        </w:rPr>
        <w:t>адресов</w:t>
      </w:r>
      <w:r w:rsidR="005F66C6" w:rsidRPr="009957D8">
        <w:rPr>
          <w:rFonts w:eastAsiaTheme="minorEastAsia"/>
          <w:b/>
          <w:bCs/>
        </w:rPr>
        <w:t>»</w:t>
      </w:r>
    </w:p>
    <w:p w:rsidR="009957D8" w:rsidRPr="009957D8" w:rsidRDefault="00E83553" w:rsidP="0099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Hlk161907509"/>
      <w:r w:rsidRPr="009957D8">
        <w:rPr>
          <w:b/>
          <w:bCs/>
        </w:rPr>
        <w:t xml:space="preserve">в </w:t>
      </w:r>
      <w:r w:rsidR="009957D8" w:rsidRPr="009957D8">
        <w:rPr>
          <w:b/>
          <w:bCs/>
        </w:rPr>
        <w:t>сельском поселении Богородский сельсовет муниципального района Благовещенский район Республики Башкортостан</w:t>
      </w:r>
    </w:p>
    <w:bookmarkEnd w:id="0"/>
    <w:p w:rsidR="00E83553" w:rsidRPr="005219EC" w:rsidRDefault="00E83553" w:rsidP="0099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9957D8" w:rsidRPr="009957D8" w:rsidRDefault="00E83553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</w:t>
      </w:r>
      <w:r w:rsidRPr="009957D8">
        <w:t>местного самоуправления в Республике Башкортостан»</w:t>
      </w:r>
      <w:r w:rsidR="009957D8">
        <w:t>,</w:t>
      </w:r>
      <w:r w:rsidRPr="009957D8">
        <w:t xml:space="preserve"> Администрация </w:t>
      </w:r>
      <w:r w:rsidR="009957D8" w:rsidRPr="009957D8">
        <w:t>сельского поселения Богородский сельсовет муниципального района Благовещенский район Республики Башкортостан.</w:t>
      </w:r>
    </w:p>
    <w:p w:rsidR="00E83553" w:rsidRPr="009957D8" w:rsidRDefault="00E83553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3553" w:rsidRPr="009957D8" w:rsidRDefault="00E83553" w:rsidP="007556AF">
      <w:pPr>
        <w:pStyle w:val="3"/>
        <w:spacing w:after="0"/>
        <w:ind w:left="0" w:firstLine="709"/>
        <w:rPr>
          <w:b/>
          <w:sz w:val="28"/>
          <w:szCs w:val="28"/>
        </w:rPr>
      </w:pPr>
      <w:r w:rsidRPr="009957D8">
        <w:rPr>
          <w:b/>
          <w:sz w:val="28"/>
          <w:szCs w:val="28"/>
        </w:rPr>
        <w:t>ПОСТАНОВЛЯЕТ:</w:t>
      </w:r>
    </w:p>
    <w:p w:rsidR="009957D8" w:rsidRPr="009957D8" w:rsidRDefault="009957D8" w:rsidP="009957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9957D8">
        <w:t xml:space="preserve">1.Утвердить Административный регламент предоставления муниципальной услуги </w:t>
      </w:r>
      <w:r w:rsidRPr="009957D8">
        <w:rPr>
          <w:rFonts w:eastAsiaTheme="minorEastAsia"/>
          <w:bCs/>
        </w:rPr>
        <w:t>«</w:t>
      </w:r>
      <w:r w:rsidRPr="009957D8">
        <w:rPr>
          <w:bCs/>
        </w:rPr>
        <w:t>Присвоение и аннулирование адресов</w:t>
      </w:r>
      <w:r w:rsidRPr="009957D8">
        <w:rPr>
          <w:rFonts w:eastAsiaTheme="minorEastAsia"/>
          <w:bCs/>
        </w:rPr>
        <w:t>»</w:t>
      </w:r>
      <w:r w:rsidRPr="009957D8">
        <w:t xml:space="preserve"> </w:t>
      </w:r>
      <w:r w:rsidRPr="009957D8">
        <w:rPr>
          <w:bCs/>
        </w:rPr>
        <w:t xml:space="preserve">в </w:t>
      </w:r>
      <w:r w:rsidRPr="009957D8">
        <w:t>сельском поселении Богородский сельсовет муниципального района Благовещенский район Республики Башкортостан.</w:t>
      </w:r>
    </w:p>
    <w:p w:rsidR="009957D8" w:rsidRPr="009957D8" w:rsidRDefault="009957D8" w:rsidP="009957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9957D8">
        <w:t xml:space="preserve">2. Постановление Администрации сельского поселения Богородский сельсовет муниципального района Благовещенский район Республики Башкортостан от </w:t>
      </w:r>
      <w:r>
        <w:t>22.11</w:t>
      </w:r>
      <w:r w:rsidRPr="009957D8">
        <w:t>.2023 г.  №</w:t>
      </w:r>
      <w:r>
        <w:t>3</w:t>
      </w:r>
      <w:r w:rsidRPr="009957D8">
        <w:t>7 признать утратившим силу.</w:t>
      </w:r>
    </w:p>
    <w:p w:rsidR="009957D8" w:rsidRPr="009957D8" w:rsidRDefault="009957D8" w:rsidP="009957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9957D8">
        <w:rPr>
          <w:rFonts w:ascii="Times New Roman" w:hAnsi="Times New Roman" w:cs="Times New Roman"/>
          <w:b w:val="0"/>
          <w:sz w:val="28"/>
          <w:szCs w:val="28"/>
        </w:rPr>
        <w:t>3. Р</w:t>
      </w:r>
      <w:r w:rsidRPr="009957D8">
        <w:rPr>
          <w:rFonts w:ascii="Times New Roman" w:hAnsi="Times New Roman" w:cs="Times New Roman"/>
          <w:b w:val="0"/>
          <w:sz w:val="28"/>
          <w:szCs w:val="28"/>
          <w:lang w:val="be-BY"/>
        </w:rPr>
        <w:t>азместить настоящее постановление 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“Интернет”.</w:t>
      </w:r>
    </w:p>
    <w:p w:rsidR="00E83553" w:rsidRPr="009957D8" w:rsidRDefault="009957D8" w:rsidP="009957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9957D8">
        <w:rPr>
          <w:lang w:val="be-BY"/>
        </w:rPr>
        <w:t xml:space="preserve">4. </w:t>
      </w:r>
      <w:r w:rsidRPr="009957D8">
        <w:t>Контроль за исполнением настоящего постановления оставляю за собой</w:t>
      </w:r>
    </w:p>
    <w:p w:rsidR="00E83553" w:rsidRPr="005219EC" w:rsidRDefault="00E83553" w:rsidP="007556AF">
      <w:pPr>
        <w:spacing w:after="0" w:line="240" w:lineRule="auto"/>
        <w:ind w:firstLine="567"/>
        <w:jc w:val="both"/>
      </w:pPr>
    </w:p>
    <w:p w:rsidR="00E83553" w:rsidRDefault="00E83553" w:rsidP="007556AF">
      <w:pPr>
        <w:tabs>
          <w:tab w:val="left" w:pos="7425"/>
        </w:tabs>
        <w:spacing w:after="0" w:line="240" w:lineRule="auto"/>
      </w:pPr>
    </w:p>
    <w:p w:rsidR="009957D8" w:rsidRPr="009957D8" w:rsidRDefault="009957D8" w:rsidP="009957D8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Глава сельского посел</w:t>
      </w:r>
      <w:r>
        <w:rPr>
          <w:rFonts w:eastAsia="Times New Roman"/>
          <w:color w:val="000000"/>
          <w:lang w:eastAsia="x-none"/>
        </w:rPr>
        <w:t xml:space="preserve">ения                                                                  </w:t>
      </w:r>
      <w:r w:rsidRPr="005523B7">
        <w:rPr>
          <w:rFonts w:eastAsia="Times New Roman"/>
          <w:color w:val="000000"/>
          <w:lang w:val="x-none" w:eastAsia="x-none"/>
        </w:rPr>
        <w:t xml:space="preserve"> </w:t>
      </w:r>
      <w:proofErr w:type="spellStart"/>
      <w:r w:rsidRPr="005523B7">
        <w:rPr>
          <w:rFonts w:eastAsia="Times New Roman"/>
          <w:color w:val="000000"/>
          <w:lang w:val="x-none" w:eastAsia="x-none"/>
        </w:rPr>
        <w:t>Л.Ф.Ахмер</w:t>
      </w:r>
      <w:r w:rsidRPr="005523B7">
        <w:rPr>
          <w:rFonts w:eastAsia="Times New Roman"/>
          <w:color w:val="000000"/>
          <w:lang w:eastAsia="x-none"/>
        </w:rPr>
        <w:t>ова</w:t>
      </w:r>
      <w:proofErr w:type="spellEnd"/>
    </w:p>
    <w:p w:rsidR="009957D8" w:rsidRDefault="009957D8" w:rsidP="009957D8">
      <w:pPr>
        <w:spacing w:after="0" w:line="240" w:lineRule="auto"/>
        <w:rPr>
          <w:b/>
          <w:sz w:val="26"/>
          <w:szCs w:val="26"/>
        </w:rPr>
      </w:pPr>
    </w:p>
    <w:p w:rsidR="009957D8" w:rsidRPr="005219EC" w:rsidRDefault="009957D8" w:rsidP="007556AF">
      <w:pPr>
        <w:tabs>
          <w:tab w:val="left" w:pos="7425"/>
        </w:tabs>
        <w:spacing w:after="0" w:line="240" w:lineRule="auto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spacing w:after="0" w:line="240" w:lineRule="auto"/>
        <w:rPr>
          <w:b/>
        </w:rPr>
      </w:pPr>
      <w:r w:rsidRPr="005219EC">
        <w:rPr>
          <w:b/>
        </w:rPr>
        <w:br w:type="page"/>
      </w:r>
    </w:p>
    <w:p w:rsidR="009957D8" w:rsidRPr="009957D8" w:rsidRDefault="009957D8" w:rsidP="009957D8">
      <w:pPr>
        <w:pStyle w:val="aff"/>
        <w:ind w:left="-567" w:right="-14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9957D8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9957D8" w:rsidRPr="009957D8" w:rsidRDefault="009957D8" w:rsidP="009957D8">
      <w:pPr>
        <w:pStyle w:val="aff"/>
        <w:ind w:left="-567" w:right="-14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9957D8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9957D8" w:rsidRPr="009957D8" w:rsidRDefault="009957D8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right="-145" w:firstLine="568"/>
        <w:jc w:val="right"/>
        <w:rPr>
          <w:color w:val="000000"/>
          <w:sz w:val="24"/>
          <w:szCs w:val="24"/>
        </w:rPr>
      </w:pPr>
      <w:r w:rsidRPr="009957D8">
        <w:rPr>
          <w:sz w:val="24"/>
          <w:szCs w:val="24"/>
        </w:rPr>
        <w:t xml:space="preserve">сельского поселения </w:t>
      </w:r>
      <w:r w:rsidRPr="009957D8">
        <w:rPr>
          <w:color w:val="000000"/>
          <w:sz w:val="24"/>
          <w:szCs w:val="24"/>
        </w:rPr>
        <w:t>Богородский сельсовет</w:t>
      </w:r>
    </w:p>
    <w:p w:rsidR="009957D8" w:rsidRPr="009957D8" w:rsidRDefault="009957D8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right="-145" w:firstLine="568"/>
        <w:jc w:val="right"/>
        <w:rPr>
          <w:color w:val="000000"/>
          <w:sz w:val="24"/>
          <w:szCs w:val="24"/>
        </w:rPr>
      </w:pPr>
      <w:r w:rsidRPr="009957D8">
        <w:rPr>
          <w:color w:val="000000"/>
          <w:sz w:val="24"/>
          <w:szCs w:val="24"/>
        </w:rPr>
        <w:t xml:space="preserve"> муниципального района Благовещенский район</w:t>
      </w:r>
    </w:p>
    <w:p w:rsidR="009957D8" w:rsidRPr="009957D8" w:rsidRDefault="009957D8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right="-145" w:firstLine="568"/>
        <w:jc w:val="right"/>
        <w:rPr>
          <w:sz w:val="24"/>
          <w:szCs w:val="24"/>
        </w:rPr>
      </w:pPr>
      <w:r w:rsidRPr="009957D8">
        <w:rPr>
          <w:color w:val="000000"/>
          <w:sz w:val="24"/>
          <w:szCs w:val="24"/>
        </w:rPr>
        <w:t xml:space="preserve">   Республики Башкортостан</w:t>
      </w:r>
      <w:r w:rsidRPr="009957D8">
        <w:rPr>
          <w:b/>
          <w:color w:val="000000"/>
          <w:sz w:val="24"/>
          <w:szCs w:val="24"/>
        </w:rPr>
        <w:t xml:space="preserve">                                  </w:t>
      </w:r>
    </w:p>
    <w:p w:rsidR="00E83553" w:rsidRPr="005219EC" w:rsidRDefault="009957D8" w:rsidP="009957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9957D8">
        <w:rPr>
          <w:color w:val="000000"/>
          <w:sz w:val="24"/>
          <w:szCs w:val="24"/>
        </w:rPr>
        <w:t xml:space="preserve"> от __________ года №______</w:t>
      </w:r>
    </w:p>
    <w:p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:rsidR="009957D8" w:rsidRPr="009957D8" w:rsidRDefault="009957D8" w:rsidP="0099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957D8">
        <w:rPr>
          <w:b/>
          <w:bCs/>
        </w:rPr>
        <w:t>в сельском поселении Богородский сельсовет муниципального района Благовещенский район Республики Башкортостан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E84AA1" w:rsidRPr="00E84AA1" w:rsidRDefault="00E84AA1" w:rsidP="00E84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E84AA1">
        <w:t>1.1.Административный регламент предоставления муниципальной услуги «</w:t>
      </w:r>
      <w:r w:rsidRPr="00E84AA1">
        <w:rPr>
          <w:bCs/>
        </w:rPr>
        <w:t>Присвоение и аннулирование адресов</w:t>
      </w:r>
      <w:r w:rsidRPr="00E84AA1"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присвоению объектам адресации адресов в сельском поселении Богородский сельсовет муниципального района Благовещенский район Республики Башкортостан (далее соответственно – Административный регламент, муниципальная услуга).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8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lastRenderedPageBreak/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9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0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1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2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3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4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5219EC"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826605" w:rsidRPr="009548A6" w:rsidRDefault="00024201" w:rsidP="007730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адресации, расположенных </w:t>
      </w:r>
      <w:r w:rsidR="00826605" w:rsidRPr="009548A6">
        <w:t xml:space="preserve">на территории муниципального образования </w:t>
      </w:r>
      <w:r w:rsidR="0077301A" w:rsidRPr="009548A6">
        <w:t>сельского поселения Богородский сельсовет муниципального района Благовещенский район Республики Башкортостан</w:t>
      </w:r>
      <w:r w:rsidR="009548A6" w:rsidRPr="009548A6">
        <w:t>;</w:t>
      </w:r>
    </w:p>
    <w:p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5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6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Pr="009548A6" w:rsidRDefault="007E725C" w:rsidP="009548A6">
      <w:pPr>
        <w:numPr>
          <w:ilvl w:val="0"/>
          <w:numId w:val="47"/>
        </w:numPr>
        <w:spacing w:after="0" w:line="240" w:lineRule="auto"/>
        <w:ind w:firstLine="709"/>
        <w:jc w:val="both"/>
      </w:pPr>
      <w:r w:rsidRPr="009548A6">
        <w:t xml:space="preserve">непосредственно при личном приеме заявителя в </w:t>
      </w:r>
      <w:r w:rsidR="009548A6" w:rsidRPr="009548A6">
        <w:t>Администрации сельского поселения Богородский сельсовет муниципального района Благовещенский район Республики Башкортос</w:t>
      </w:r>
      <w:r w:rsidR="009548A6" w:rsidRPr="009548A6">
        <w:t xml:space="preserve">тан </w:t>
      </w:r>
      <w:r w:rsidRPr="009548A6"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bookmarkStart w:id="2" w:name="_Hlk154068851"/>
      <w:r w:rsidR="009548A6" w:rsidRPr="009548A6">
        <w:t>http://bogorodsk-blagrb.ru</w:t>
      </w:r>
      <w:bookmarkEnd w:id="2"/>
      <w:r w:rsidRPr="009548A6">
        <w:t>)</w:t>
      </w:r>
      <w:r>
        <w:t xml:space="preserve"> 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по вопросам предоставления услуг, которые являются необходимыми и обязательными для предоставления муниципальной услуги; порядка </w:t>
      </w:r>
      <w:r w:rsidRPr="00133E22">
        <w:lastRenderedPageBreak/>
        <w:t>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lastRenderedPageBreak/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3" w:name="Par20"/>
      <w:bookmarkEnd w:id="3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lastRenderedPageBreak/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9548A6" w:rsidRPr="009548A6" w:rsidRDefault="000578E8" w:rsidP="009548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9548A6">
        <w:rPr>
          <w:rFonts w:eastAsia="Calibri"/>
        </w:rPr>
        <w:t xml:space="preserve">Муниципальная услуга предоставляется </w:t>
      </w:r>
      <w:r w:rsidR="009548A6" w:rsidRPr="009548A6">
        <w:rPr>
          <w:rFonts w:eastAsia="Calibri"/>
        </w:rPr>
        <w:t xml:space="preserve">Администрацией сельского поселения Богородский сельсовет муниципального района Благовещенский район Республики Башкортостан в лице главы сельского поселения. 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 xml:space="preserve">слуги является внесение сведений в государственный адресный реестр, подтвержденное соответствующей выпиской из государственного адресного </w:t>
      </w:r>
      <w:r>
        <w:lastRenderedPageBreak/>
        <w:t>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4" w:name="Par0"/>
      <w:bookmarkEnd w:id="4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lastRenderedPageBreak/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18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5" w:name="Par26"/>
      <w:bookmarkEnd w:id="5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lastRenderedPageBreak/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6" w:name="Par16"/>
      <w:bookmarkEnd w:id="6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0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7" w:name="Par31"/>
      <w:bookmarkEnd w:id="7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</w:t>
      </w:r>
      <w:r w:rsidR="00871FCA">
        <w:lastRenderedPageBreak/>
        <w:t xml:space="preserve">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</w:t>
      </w:r>
      <w:r w:rsidRPr="005219EC">
        <w:rPr>
          <w:rFonts w:eastAsia="Calibri"/>
        </w:rPr>
        <w:lastRenderedPageBreak/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 xml:space="preserve">униципальной </w:t>
      </w:r>
      <w:r w:rsidRPr="005219EC">
        <w:lastRenderedPageBreak/>
        <w:t>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lastRenderedPageBreak/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5219EC"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</w:t>
      </w:r>
      <w:r>
        <w:lastRenderedPageBreak/>
        <w:t>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 xml:space="preserve">услугами, </w:t>
      </w:r>
      <w:r w:rsidRPr="005219EC">
        <w:lastRenderedPageBreak/>
        <w:t>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lastRenderedPageBreak/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5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6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7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4) для индивидуальных предпринимателей - фамилия, имя, отчество (при наличии), ИНН, ОГРН, данные основного документа, удостоверяющего </w:t>
      </w:r>
      <w:r w:rsidRPr="005219EC">
        <w:lastRenderedPageBreak/>
        <w:t>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lastRenderedPageBreak/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9548A6" w:rsidRDefault="009548A6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lastRenderedPageBreak/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</w:t>
      </w:r>
      <w:r w:rsidRPr="00535269">
        <w:rPr>
          <w:bCs/>
        </w:rPr>
        <w:lastRenderedPageBreak/>
        <w:t>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28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9957D8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29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</w:r>
      <w:r w:rsidR="004C24B3" w:rsidRPr="00535269">
        <w:lastRenderedPageBreak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9957D8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0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</w:t>
      </w:r>
      <w:r w:rsidRPr="00535269">
        <w:lastRenderedPageBreak/>
        <w:t xml:space="preserve">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lastRenderedPageBreak/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lastRenderedPageBreak/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</w:t>
      </w:r>
      <w:r w:rsidRPr="00535269">
        <w:lastRenderedPageBreak/>
        <w:t xml:space="preserve">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379" w:rsidRDefault="00B963CA" w:rsidP="009548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  <w:sectPr w:rsidR="00195379" w:rsidSect="009957D8">
          <w:headerReference w:type="default" r:id="rId31"/>
          <w:pgSz w:w="11905" w:h="16838"/>
          <w:pgMar w:top="142" w:right="851" w:bottom="907" w:left="1304" w:header="709" w:footer="0" w:gutter="0"/>
          <w:cols w:space="720"/>
          <w:noEndnote/>
          <w:titlePg/>
          <w:docGrid w:linePitch="381"/>
        </w:sect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  <w:bookmarkStart w:id="8" w:name="_GoBack"/>
      <w:bookmarkEnd w:id="8"/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32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3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</w:t>
            </w:r>
            <w:r w:rsidR="00195379" w:rsidRPr="00EC2EE0">
              <w:rPr>
                <w:sz w:val="24"/>
                <w:szCs w:val="24"/>
              </w:rPr>
              <w:lastRenderedPageBreak/>
              <w:t xml:space="preserve">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 xml:space="preserve">Едином </w:t>
            </w:r>
            <w:r w:rsidR="004B0FFC" w:rsidRPr="004B0FFC">
              <w:rPr>
                <w:sz w:val="24"/>
                <w:szCs w:val="24"/>
              </w:rPr>
              <w:lastRenderedPageBreak/>
              <w:t>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      </w:r>
            <w:r w:rsidRPr="00265E01">
              <w:rPr>
                <w:sz w:val="24"/>
                <w:szCs w:val="24"/>
              </w:rPr>
              <w:lastRenderedPageBreak/>
              <w:t>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сформированный комплект документов, необходимых для предоставления муниципальной </w:t>
            </w:r>
            <w:r w:rsidRPr="0021763A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</w:t>
            </w:r>
            <w:r w:rsidRPr="0021763A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</w:t>
            </w:r>
            <w:r w:rsidRPr="0021763A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lastRenderedPageBreak/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 xml:space="preserve">принятое постановление </w:t>
            </w:r>
            <w:r w:rsidRPr="007E69C0">
              <w:rPr>
                <w:sz w:val="24"/>
                <w:szCs w:val="24"/>
              </w:rPr>
              <w:lastRenderedPageBreak/>
              <w:t>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 xml:space="preserve">рассмотрение и подписание на бумажном носителе результата предоставления </w:t>
            </w:r>
            <w:r w:rsidRPr="0021763A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форме электронного </w:t>
            </w:r>
            <w:r>
              <w:rPr>
                <w:sz w:val="24"/>
                <w:szCs w:val="24"/>
              </w:rPr>
              <w:lastRenderedPageBreak/>
              <w:t>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9548A6">
      <w:pgSz w:w="16838" w:h="11905" w:orient="landscape"/>
      <w:pgMar w:top="28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1DD" w:rsidRDefault="006001DD" w:rsidP="007753F7">
      <w:pPr>
        <w:spacing w:after="0" w:line="240" w:lineRule="auto"/>
      </w:pPr>
      <w:r>
        <w:separator/>
      </w:r>
    </w:p>
  </w:endnote>
  <w:endnote w:type="continuationSeparator" w:id="0">
    <w:p w:rsidR="006001DD" w:rsidRDefault="006001DD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1DD" w:rsidRDefault="006001DD" w:rsidP="007753F7">
      <w:pPr>
        <w:spacing w:after="0" w:line="240" w:lineRule="auto"/>
      </w:pPr>
      <w:r>
        <w:separator/>
      </w:r>
    </w:p>
  </w:footnote>
  <w:footnote w:type="continuationSeparator" w:id="0">
    <w:p w:rsidR="006001DD" w:rsidRDefault="006001DD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7D8" w:rsidRDefault="009957D8">
    <w:pPr>
      <w:pStyle w:val="af2"/>
      <w:jc w:val="center"/>
    </w:pPr>
  </w:p>
  <w:p w:rsidR="009957D8" w:rsidRDefault="009957D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1F437B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16AF5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01DD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301A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548A6"/>
    <w:rsid w:val="00961092"/>
    <w:rsid w:val="0097122E"/>
    <w:rsid w:val="00976F6E"/>
    <w:rsid w:val="00991484"/>
    <w:rsid w:val="00992F12"/>
    <w:rsid w:val="009957D8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4AA1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1BA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3819"/>
  <w15:docId w15:val="{5B1CA403-27A3-470E-B5BD-37D1A1D8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customStyle="1" w:styleId="ConsPlusTitle">
    <w:name w:val="ConsPlusTitle"/>
    <w:uiPriority w:val="99"/>
    <w:rsid w:val="00995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D21C1A542317DB0B1A0D8C6F3B5A7C2FDD9879FC7BCEA3218D460EA8B0359817357E3C80EA27FAFC926EA87Fe7i5M" TargetMode="External"/><Relationship Id="rId18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6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5EE64FD248A6641902EE54263DECB3CBB6A1B47916EDF7540258CACEE010F6A174DE69ACFFCA85E2B4F620CZCTAM" TargetMode="External"/><Relationship Id="rId17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5" Type="http://schemas.openxmlformats.org/officeDocument/2006/relationships/hyperlink" Target="consultantplus://offline/ref=7477D36D247F526C7BD4B7DDD08F15A6014F84D62298DDA4DCA8A2DB7828FD21BF4B5E0D31D769E7uBz4M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B861FEEE41AAE921CBB2FDE3E160BCF63BA00F2F1821759RFyAL" TargetMode="External"/><Relationship Id="rId20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9" Type="http://schemas.openxmlformats.org/officeDocument/2006/relationships/hyperlink" Target="consultantplus://offline/ref=A397FE100A04CF436DCCCECBCB31C68B42BF210599BF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24" Type="http://schemas.openxmlformats.org/officeDocument/2006/relationships/hyperlink" Target="consultantplus://offline/ref=478B7ED82C389E6019B1ADF25DBBD6C2CF5EC43CDE68F9A73E48804B4C0DA729EB49C69F53272E82c1O7H" TargetMode="External"/><Relationship Id="rId32" Type="http://schemas.openxmlformats.org/officeDocument/2006/relationships/hyperlink" Target="https://vis.bashkortost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F0C7F7B1876BAA6BA37C91B3C9DE3D118F1DEAE617F39814E223DCR3y9L" TargetMode="External"/><Relationship Id="rId23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2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4E2307D15FAB9C3B1DD1D4724D6AB62ECF4D90E332B2497C8D248C98639995A3883314E21EEC2B761F50F1D35CgANEM" TargetMode="External"/><Relationship Id="rId19" Type="http://schemas.openxmlformats.org/officeDocument/2006/relationships/hyperlink" Target="consultantplus://offline/ref=9A4F918B674AF647AC29C6131391421A0DD03BBDECD7DF72EC9FBE34D07A1101AE3F7BC6A3532CB4863EAB236E6A0E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307D15FAB9C3B1DD1D4724D6AB62ECF4D92E830BD497C8D248C98639995A3883314E21EEC2B761F50F1D35CgANEM" TargetMode="External"/><Relationship Id="rId14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6E2CE68863DF0F6FC25338640h502M" TargetMode="External"/><Relationship Id="rId30" Type="http://schemas.openxmlformats.org/officeDocument/2006/relationships/hyperlink" Target="consultantplus://offline/ref=A397FE100A04CF436DCCCECBCB31C68B42BE200191B8B806F655A1EE54601F0A8CDCC862B6B13B1233FA6C374EFDx9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1108D8B1C0B0FCA4017E8CAB92ABF9A51B9305F983E01629267C42C18B8D0F6D44BFAD25400245D99732B0F538719F89FD4B32AED395F66k5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4F70-3F5A-4483-9A74-B7B0CB96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54</Pages>
  <Words>17696</Words>
  <Characters>100872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4</cp:revision>
  <cp:lastPrinted>2021-06-16T12:51:00Z</cp:lastPrinted>
  <dcterms:created xsi:type="dcterms:W3CDTF">2024-03-20T06:18:00Z</dcterms:created>
  <dcterms:modified xsi:type="dcterms:W3CDTF">2024-03-21T05:49:00Z</dcterms:modified>
</cp:coreProperties>
</file>